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楷体_GB2312" w:eastAsia="楷体_GB2312"/>
          <w:b/>
          <w:bCs/>
          <w:sz w:val="36"/>
          <w:szCs w:val="28"/>
          <w:lang w:val="en-US" w:eastAsia="zh-CN"/>
        </w:rPr>
      </w:pPr>
      <w:r>
        <w:rPr>
          <w:rFonts w:hint="eastAsia" w:ascii="楷体_GB2312" w:eastAsia="楷体_GB2312"/>
          <w:b/>
          <w:bCs/>
          <w:sz w:val="36"/>
          <w:szCs w:val="28"/>
          <w:lang w:val="en-US" w:eastAsia="zh-CN"/>
        </w:rPr>
        <w:t>2024-010参数附件：</w:t>
      </w:r>
    </w:p>
    <w:tbl>
      <w:tblPr>
        <w:tblStyle w:val="3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2"/>
        <w:gridCol w:w="1035"/>
        <w:gridCol w:w="11075"/>
        <w:gridCol w:w="10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365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3906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主要功能配置及技术指标要求</w:t>
            </w:r>
          </w:p>
        </w:tc>
        <w:tc>
          <w:tcPr>
            <w:tcW w:w="36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三层交换机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1.1U高，固化10/100/1000M以太网端口≥24个，固化SFP千兆光接口≥4个，固化SFP+万兆光接口≥4个。（须提供官网截图证明材料）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2.机身固化内置双AC电源。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3.机身支持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Console口（RJ45）、带外管理口（MGMT端口，RJ45）、USB接口、Reset键。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4.整机采用绿色环保设计，满负荷情况下功耗≤30W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5.为了确保设备正常工作及安装环境需要，需配置≥2个自动调速风扇，左右通风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6.要求设备尺寸深度≤325mm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7.交换容量≥598bps，包转发率≥274Mpps。（须提供官网截图证明材料）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8.支持IPv4/IPv6静态路由、支持IPv4/IPv6 RIP、OSPF、BGP、PBR路由</w:t>
            </w:r>
            <w:r>
              <w:rPr>
                <w:rFonts w:hint="eastAsia" w:ascii="仿宋" w:hAnsi="仿宋" w:eastAsia="仿宋" w:cs="宋体"/>
                <w:color w:val="FF0000"/>
                <w:kern w:val="0"/>
                <w:szCs w:val="21"/>
              </w:rPr>
              <w:t>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9.支持虚拟化，实现跨设备的链路聚合。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10.支持FULL EAPS功能。支持多进程MSTP进程。（须提供检测报告证明材料）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11.支持生成树快速收敛功能，当网络拓扑发生变化时，收敛小于等于70ms。（须提供检测报告证明材料）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12.支持BFD for VRRP/静态路由/RIP/OSPF/BGP，拓扑变化时，设备能够快速收敛，收敛时间小于等于50ms。（须提供检测报告证明材料）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13.IPv6 SAVI接入网源地址验证。（须提供检测报告证明材料）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14.支持专业级IPv4/v6 VLAN ACL，IPv6 port-range ACL。（须提供检测报告证明材料）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防火墙</w:t>
            </w:r>
          </w:p>
        </w:tc>
        <w:tc>
          <w:tcPr>
            <w:tcW w:w="3906" w:type="pct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1、处理器为采用多核处理器。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2、配备至少9个千兆电口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3、至少配置1个USB2.0接口,支持不依赖网络的外接U盘方式进行系统升级和外接移动硬件存储日志。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4、吞吐量≥1Gbps；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5、IPS吞吐量≥300Mbps；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6、防病毒吞吐量≥200Mbps；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7、IPsec VPN吞吐率≥400Mbps；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8、最大并发会话数≥18万；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9、每秒新建会话数≥1.5万；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10、透明、路由模式下支持将多条链路带宽进行捆绑，支持LACP动态聚合 ；（须提供功能截图证明材料）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11、支持通过策略列表中的冗余和无用策略进行检测;（须提供功能截图证明材料）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12、支持NAT公网地址池中IP有效性检测，避免因NAT地址无法使用导致业务中断；（须提供功能截图证明材料）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13、支持多出口线路的链路质量就近探测（带宽使用率、延时影响等条件）、实现择优选路的负载均衡功能（须提供功能截图证明材料）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14、支持SmartDNS功能。（须提供功能截图证明材料）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15、具备病毒过滤特征库不少于300万，且支持特征库每日自动更新升级； 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16、能对P2P软件下载、P2P在线视频、Web视频进行应用引流（须提供功能截图证明材料）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17、可支持3000种以上应用协议的识别分类，包括P2P下载、P2P在线、WEB视频、网络游戏、炒股软件等，（须提供功能截图证明材料）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18、必须支持基于secure-tcp的日志记录格式（须提供功能截图证明材料）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WAF防火墙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1、配备至少6个千兆电口。一个扩展槽，≥1T监控级硬盘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2、HTTP吞吐≥1Gbps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3、HTTP新建（CPS）≥4,500/s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4、HTTP新建事务能力（TPS）≥18,000/s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5、HTTP最大并发连接数≥1300000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6、支持透明流模式、透明代理模式、反向代理模式、路由牵引模式、镜像检测模式及镜像阻断模式（须提供功能截图证明材料）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7、支持网站批量离线、网站批量恢复、网站一键断网、网站一键恢复操作（须提供功能截图证明材料）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8、支持虚拟补丁功能，支持导入appscan等第三方扫描器的扫描结果生成WAF的规则，对此类网站漏洞直接防护（须提供功能截图证明材料）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9、支持网站自学习建模，可通过学习URL、host等信息展示网站结构树形图，并支持对URL的访问量和响应健康度进行图形化统计（须提供功能截图证明材料）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10、支持旁路镜像模式下，对检测到的攻击进行旁路阻断（须提供功能截图证明材料）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11、支持通过BGP方式对流量进行牵引，并在清洗攻击后回注，回注过程支持设置SNAT策略（须提供功能截图证明材料）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12、提供DNS服务器功能，支持服务器泛域名和普通域名服务（须提供功能截图证明材料）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13、支持HTTP协议校验，可根据实际网络状况自定义协议参数合规标准，过滤非法数据（须提供功能截图证明材料）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上网行为管理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1、硬件规格：网络接口≥6个千兆电口，≥1个扩展插槽，≥1个Console ，存储 ≥1T硬盘，机箱 1U。内置常用的攻击工具库，重点针对网络层，可以用于教学和比赛使用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2、支持路由模式，旁路模式、网桥模式、混合模式部署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3、支持即插即用功能。不管电脑的IP如何配置，开启即插即用功能后，只要插上网线，即可上网。（须提供功能截图证明材料）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4、支持基于应用层服务的策略路由。（须提供功能截图证明材料）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5、支持ISP自动地址表（电信、移动、网通、铁通等）的策略路由的选路方式（须提供功能截图证明材料）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6、支持智能DNS,对内部服务器负载均衡，按应用服务的负载均衡多链路冗余切换；（须提供功能截图证明材料）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7、支持基于策略方向、源地址、目的地址、服务、生效时间的安全策略。（须提供功能截图证明材料）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8、支持对TCP、UDP、ICMP、TCP SYN超时时间，无回应UDP超时时间设置，并能支持按照新建会话与总会话比例设置老化开始或者结束。（须提供功能截图证明材料）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9、有潜在威胁的告警行为。告警策略要支持syslog、短信、邮件、日志记录，以及任意的方式组合。（须提供功能截图证明材料）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10、支持windows集成身份认证，加入域的pc通过浏览器正常上网即可实现身份认证（须提供功能截图证明材料）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11、支持所有访问的会话日志记录，包括: 源 IP、目的 IP、协议类型、七层应用名称、源端口、目的端口、是否进行 NAT 转换(可显示转换后的 IP 和端口)、会话产生的时间和会话持续时间。（须提供功能截图证明材料）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、基于个人的所有行为监控报表，包括：网页标题记录、发贴记录、网页评论记录、在搜索引擎上的搜索记录、网页文件上传记录、URL访问记录、即时通讯的登录信息/聊天内容/文件传输记录、邮件记录（详细内容、附件）、FTP登录信息/上传记录/下载记录。（须提供功能截图证明材料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无线控制器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1.独立的硬件盒式无线控制器形态，支持对本次采购的所有型号AP（802.11a/b/g/n/ac）统一管理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2.最大管理AP数≥72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3.遵循标准的CAPWAP协议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4.支持N+1、N+N及1+1备份冗余机制；支持AC集群部署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5.最大交换能力≥100Gbps；包转发速率≥40Mpps；Vlan数4K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6.固化支持10/100/1000BASE-T POE端口≥24个，千兆SFP端口≥4个；可同时作为三层汇聚PoE交换机使用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7.支持静态路由、RIPv1/v2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8.支持CLI、中文web配置页面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9.支持IPV4/V6双栈、6to4隧道、IPv4 over IPv6 隧道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10.支持Portal认证、MAC认证、802.1X认证；支持外部AD、Radius和LDAP认证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11.支持无感知认证功能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12.支持内置Portal认证功能，支持Portal页面可自定制功能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13.支持微信认证、短信认证、微博认证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无线AP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基础规格：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1.要求产品形态为室内双频放装式AP，发射功率≥20dBm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2.可同时工作在802.11a/n/ac、802.11b/g/n模式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3.支持802.11ac wave2的MU-MIMO技术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4. 2.4G射频支持3*3 MIMO，2.4G射频最大速率≥450Mbps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5. 5G射频支持2*2 MIMO，5G射频最大速率≥867Mbps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硬件规格：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6.支持10/100/1000BASE-T 端口≥1个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7.支持外置USB接口，便于扩展蓝牙、物联网、外置存储等应用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8.内置天线设计，支持壁挂、放装、吸顶等安装方式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9.支持标准PoE（802.3af）供电，并支持本地适配器供电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功能要求：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10.支持SSID数≥32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11.支持FIT/FAT模式可切换，可被本次招标的所有型号的无线控制器管理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12.支持AP逃生功能，AP-AC链接断开后AP可继续工作不影响用户使用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13.AP向AC注册支持AP mac地址认证，支持AP口令密码认证，支持AP、AC双向数字证书的认证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14.支持基于SSID和Radio的无线服务定时开启和关闭控制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15.支持wifi定位功能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16.支持频谱导航功能，能够自动引导双频无线终端工作在5GHz频段上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364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65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PoE适配器</w:t>
            </w: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10/100/1000Mbps单端口802.3at PoE模块，最高输出功率为30W</w:t>
            </w:r>
          </w:p>
        </w:tc>
        <w:tc>
          <w:tcPr>
            <w:tcW w:w="36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信息安全实训平台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一、硬件规格要求：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1. 2U标准机架式服务器；处理器配置≥1颗；CPU核数≥12核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2.内存容量≥64G内存；硬盘容量≥2T SSD硬盘；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3.网络接口≥2*GE电口；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二、管理模块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4.课前管理：支持信息修改，支持学员账户密码及个人信息修改；学员对所学课程信息进行查看，能够查看课程名称、讲师、课程时间安排等；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5.课中管理：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6.学员的截屏及录屏集中管理，提供集中管理，确保学员操作的截屏及录屏进行查看；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7.学员学习资源查看，查看学员使用虚拟机的虚拟化系统、关联课程、启动时间、控制台及启动、关闭操作；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8.课后管理：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9.学生实验报告集中管理，支持查看提交的实验报告以及相应状态、成绩及评语等；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三、资源监控及环境管理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10.运行概览监控：具备实时显示当前在线人数、平台总计用户数、学员人数、教员人数、管理员人数、虚拟化资源操作次数，班级数量及平台开启虚拟化资源数量；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11.资源概览监控：直观展示平台当前的课程总数、实验数量、题库数量、镜像总数及容器镜像等资源统计数据；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四、教学管理模块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12.教学虚拟机管理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13.虚拟机操作界面应支持暂停、停止、延时功能，支持截屏录屏功能，多个虚拟机之间单击切换；虚宿文件上传管理；支持用户在实验过程中，虚宿文件互传；支持虚宿文件传输设置，可设置为自动开启或是关闭，自动开启状态，新启动虚拟机自动启动虚宿文件传输；支持设置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14.虚拟化模式：学习模式，实践模式；学习模式虚拟化资源运行在内存中，关机清除，系统自动回收虚拟资源；实践模式，虚拟化资源保存在硬盘中，退出登陆后，下次可继续实验。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15.虚拟机教学辅助：支持剪切板功能，学员实验电脑和虚拟键之间支持通过剪切板自有复制和粘贴；支持文件上传功能，支持学会学员端实验电脑与虚拟机之间进行文件传输，可以将完整文件上传至虚拟机；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16.虚拟化能力：单台设备至少支持10个独立的虚拟系统的加载，支持10个学员并发使用；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17.容器能力：单台设备至少支持60个独立的容器的加载；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18.应提供实验讨论功能，确保实验操作过程中教员及管理员可以对学员进行远程解答；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19.教学环境安全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20.实验环境应隔离，包含无隔离、个人隔离、班级隔离三种模式，可选择是否对课程虚拟化资源进行延时操作；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操作系统基础课程资源(可选)</w:t>
            </w:r>
          </w:p>
        </w:tc>
        <w:tc>
          <w:tcPr>
            <w:tcW w:w="3906" w:type="pct"/>
            <w:tcBorders>
              <w:top w:val="single" w:color="auto" w:sz="4" w:space="0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至少包含Linux操作系统、iptables防火墙实验课程</w:t>
            </w:r>
          </w:p>
        </w:tc>
        <w:tc>
          <w:tcPr>
            <w:tcW w:w="364" w:type="pct"/>
            <w:vMerge w:val="restart"/>
            <w:tcBorders>
              <w:top w:val="single" w:color="auto" w:sz="4" w:space="0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数据库基础课程资源(可选)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主要包含MySQL数据库基础实验课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编程语言基础课程资源(可选)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主要包含Python3编程基础、C语言基础实验课程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木马病毒与分析课程资源(可选)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主要包含恶意代码分析、含病毒分析与防护主要实验课程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代码审计课程资源(可选)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主要包含PHP代码审计实验课程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密码学基础与应用课程资源(可选)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主要包含密码学、应用密码学实验课程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内网渗透课程资源(可选)</w:t>
            </w:r>
          </w:p>
        </w:tc>
        <w:tc>
          <w:tcPr>
            <w:tcW w:w="3906" w:type="pct"/>
            <w:tcBorders>
              <w:top w:val="nil"/>
              <w:left w:val="nil"/>
              <w:bottom w:val="nil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主要包含Meterpreter使用、渗透实验课程、隧道代理实验课程</w:t>
            </w:r>
          </w:p>
        </w:tc>
        <w:tc>
          <w:tcPr>
            <w:tcW w:w="364" w:type="pct"/>
            <w:vMerge w:val="restart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65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shd w:val="clear" w:color="auto" w:fill="auto"/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  <w:tc>
          <w:tcPr>
            <w:tcW w:w="3906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Cs w:val="21"/>
              </w:rPr>
              <w:t>（须提供实训课程列表，并提供平台课程资源截图）</w:t>
            </w:r>
          </w:p>
        </w:tc>
        <w:tc>
          <w:tcPr>
            <w:tcW w:w="364" w:type="pct"/>
            <w:vMerge w:val="continue"/>
            <w:tcBorders>
              <w:top w:val="nil"/>
              <w:left w:val="single" w:color="auto" w:sz="8" w:space="0"/>
              <w:bottom w:val="single" w:color="000000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Cs w:val="21"/>
              </w:rPr>
            </w:pPr>
          </w:p>
        </w:tc>
      </w:tr>
    </w:tbl>
    <w:p>
      <w:pPr>
        <w:jc w:val="center"/>
        <w:rPr>
          <w:rFonts w:hint="eastAsia" w:ascii="楷体_GB2312" w:hAnsi="宋体" w:eastAsia="楷体_GB2312"/>
          <w:sz w:val="24"/>
          <w:szCs w:val="22"/>
        </w:rPr>
      </w:pPr>
    </w:p>
    <w:p>
      <w:pPr>
        <w:pStyle w:val="5"/>
      </w:pPr>
    </w:p>
    <w:p>
      <w:pPr>
        <w:pStyle w:val="2"/>
        <w:widowControl/>
        <w:shd w:val="clear" w:color="auto" w:fill="FFFFFF"/>
        <w:spacing w:before="210" w:beforeAutospacing="0" w:after="210" w:afterAutospacing="0" w:line="560" w:lineRule="exact"/>
        <w:ind w:firstLine="570"/>
        <w:jc w:val="both"/>
        <w:rPr>
          <w:rFonts w:ascii="Times New Roman" w:hAnsi="Times New Roman"/>
          <w:color w:val="333333"/>
          <w:sz w:val="31"/>
          <w:szCs w:val="31"/>
          <w:shd w:val="clear" w:color="auto" w:fill="FFFFFF"/>
        </w:rPr>
      </w:pPr>
    </w:p>
    <w:p>
      <w:pPr>
        <w:rPr>
          <w:rStyle w:val="6"/>
          <w:rFonts w:ascii="仿宋" w:hAnsi="仿宋" w:eastAsia="仿宋" w:cs="仿宋"/>
          <w:color w:val="000000"/>
          <w:kern w:val="0"/>
          <w:sz w:val="32"/>
          <w:szCs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dkZjg5Y2VkNWEwNjNiZmVmYTBmZjBiZmM3Y2RhMzEifQ=="/>
  </w:docVars>
  <w:rsids>
    <w:rsidRoot w:val="00000000"/>
    <w:rsid w:val="15354245"/>
    <w:rsid w:val="239B33CE"/>
    <w:rsid w:val="49793828"/>
    <w:rsid w:val="511107EA"/>
    <w:rsid w:val="6ECF78C3"/>
    <w:rsid w:val="72620A4E"/>
    <w:rsid w:val="75F61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paragraph" w:styleId="5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6">
    <w:name w:val="NormalCharacter"/>
    <w:autoRedefine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2024-07-09T05:57:34Z</dcterms:created>
  <dc:creator>Administrator</dc:creator>
  <cp:lastModifiedBy>WPS_1662360868</cp:lastModifiedBy>
  <dcterms:modified xsi:type="dcterms:W3CDTF">2024-07-09T05:58:28Z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766ED4A2323148A6ABB71F6906A804F2_12</vt:lpwstr>
  </property>
</Properties>
</file>